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7200E" w14:textId="77777777" w:rsidR="00CF06AA" w:rsidRDefault="00CF06AA" w:rsidP="00CF06AA">
      <w:pPr>
        <w:pStyle w:val="Pa16"/>
        <w:jc w:val="both"/>
        <w:rPr>
          <w:rFonts w:asciiTheme="minorHAnsi" w:hAnsiTheme="minorHAnsi" w:cstheme="minorHAnsi"/>
          <w:b/>
          <w:bCs/>
          <w:color w:val="000000"/>
          <w:sz w:val="28"/>
          <w:szCs w:val="28"/>
        </w:rPr>
      </w:pPr>
      <w:r>
        <w:rPr>
          <w:rFonts w:asciiTheme="minorHAnsi" w:hAnsiTheme="minorHAnsi" w:cstheme="minorHAnsi"/>
          <w:b/>
          <w:bCs/>
          <w:color w:val="000000"/>
          <w:sz w:val="28"/>
          <w:szCs w:val="28"/>
        </w:rPr>
        <w:t xml:space="preserve">Prevent Duty 2015 </w:t>
      </w:r>
      <w:r w:rsidRPr="00C840DF">
        <w:rPr>
          <w:rFonts w:asciiTheme="minorHAnsi" w:hAnsiTheme="minorHAnsi" w:cstheme="minorHAnsi"/>
          <w:b/>
          <w:bCs/>
          <w:color w:val="000000"/>
          <w:sz w:val="28"/>
          <w:szCs w:val="28"/>
        </w:rPr>
        <w:t>Venue</w:t>
      </w:r>
      <w:r>
        <w:rPr>
          <w:rFonts w:asciiTheme="minorHAnsi" w:hAnsiTheme="minorHAnsi" w:cstheme="minorHAnsi"/>
          <w:b/>
          <w:bCs/>
          <w:color w:val="000000"/>
          <w:sz w:val="28"/>
          <w:szCs w:val="28"/>
        </w:rPr>
        <w:t xml:space="preserve"> and Speaker</w:t>
      </w:r>
      <w:r w:rsidRPr="00C840DF">
        <w:rPr>
          <w:rFonts w:asciiTheme="minorHAnsi" w:hAnsiTheme="minorHAnsi" w:cstheme="minorHAnsi"/>
          <w:b/>
          <w:bCs/>
          <w:color w:val="000000"/>
          <w:sz w:val="28"/>
          <w:szCs w:val="28"/>
        </w:rPr>
        <w:t xml:space="preserve"> Hire Policy </w:t>
      </w:r>
      <w:r>
        <w:rPr>
          <w:rFonts w:asciiTheme="minorHAnsi" w:hAnsiTheme="minorHAnsi" w:cstheme="minorHAnsi"/>
          <w:b/>
          <w:bCs/>
          <w:color w:val="000000"/>
          <w:sz w:val="28"/>
          <w:szCs w:val="28"/>
        </w:rPr>
        <w:t>and Guidance</w:t>
      </w:r>
    </w:p>
    <w:p w14:paraId="07F5AEA7" w14:textId="77777777" w:rsidR="00CF06AA" w:rsidRPr="000116DF" w:rsidRDefault="00CF06AA" w:rsidP="00CF06AA">
      <w:pPr>
        <w:pStyle w:val="Pa16"/>
        <w:jc w:val="both"/>
        <w:rPr>
          <w:rFonts w:asciiTheme="minorHAnsi" w:hAnsiTheme="minorHAnsi" w:cstheme="minorHAnsi"/>
          <w:b/>
          <w:bCs/>
          <w:color w:val="000000"/>
          <w:sz w:val="28"/>
          <w:szCs w:val="28"/>
        </w:rPr>
      </w:pPr>
      <w:r w:rsidRPr="00EC6918">
        <w:rPr>
          <w:rFonts w:asciiTheme="minorHAnsi" w:hAnsiTheme="minorHAnsi" w:cstheme="minorHAnsi"/>
        </w:rPr>
        <w:t>Local Authorities have a responsibility to ensure that their venues are not used by those whose views may</w:t>
      </w:r>
      <w:r>
        <w:rPr>
          <w:rFonts w:asciiTheme="minorHAnsi" w:hAnsiTheme="minorHAnsi" w:cstheme="minorHAnsi"/>
        </w:rPr>
        <w:t xml:space="preserve"> </w:t>
      </w:r>
      <w:r w:rsidRPr="00EC6918">
        <w:rPr>
          <w:rFonts w:asciiTheme="minorHAnsi" w:hAnsiTheme="minorHAnsi" w:cstheme="minorHAnsi"/>
        </w:rPr>
        <w:t>draw people into terrorism by putting in place a booking policy to guide staff who are responsible for booking venues</w:t>
      </w:r>
      <w:r>
        <w:rPr>
          <w:rFonts w:asciiTheme="minorHAnsi" w:hAnsiTheme="minorHAnsi" w:cstheme="minorHAnsi"/>
        </w:rPr>
        <w:t xml:space="preserve">.  </w:t>
      </w:r>
      <w:r w:rsidRPr="000820DF">
        <w:rPr>
          <w:rFonts w:asciiTheme="minorHAnsi" w:hAnsiTheme="minorHAnsi" w:cstheme="minorHAnsi"/>
        </w:rPr>
        <w:t xml:space="preserve">This </w:t>
      </w:r>
      <w:r>
        <w:rPr>
          <w:rFonts w:asciiTheme="minorHAnsi" w:hAnsiTheme="minorHAnsi" w:cstheme="minorHAnsi"/>
        </w:rPr>
        <w:t xml:space="preserve">guidance </w:t>
      </w:r>
      <w:r w:rsidRPr="000820DF">
        <w:rPr>
          <w:rFonts w:asciiTheme="minorHAnsi" w:hAnsiTheme="minorHAnsi" w:cstheme="minorHAnsi"/>
        </w:rPr>
        <w:t xml:space="preserve">should be followed as part of the other checks made </w:t>
      </w:r>
      <w:r>
        <w:rPr>
          <w:rFonts w:asciiTheme="minorHAnsi" w:hAnsiTheme="minorHAnsi" w:cstheme="minorHAnsi"/>
        </w:rPr>
        <w:t xml:space="preserve">by staff </w:t>
      </w:r>
      <w:r w:rsidRPr="000820DF">
        <w:rPr>
          <w:rFonts w:asciiTheme="minorHAnsi" w:hAnsiTheme="minorHAnsi" w:cstheme="minorHAnsi"/>
        </w:rPr>
        <w:t>when hiring out a venue.</w:t>
      </w:r>
    </w:p>
    <w:p w14:paraId="7739EFFE" w14:textId="77777777" w:rsidR="00CF06AA" w:rsidRPr="00086E0B" w:rsidRDefault="00CF06AA" w:rsidP="00CF06AA">
      <w:pPr>
        <w:pStyle w:val="Default"/>
        <w:jc w:val="both"/>
        <w:rPr>
          <w:lang w:eastAsia="en-US"/>
        </w:rPr>
      </w:pPr>
    </w:p>
    <w:p w14:paraId="04B8CD60" w14:textId="77777777" w:rsidR="00CF06AA" w:rsidRDefault="00CF06AA" w:rsidP="00CF06AA">
      <w:pPr>
        <w:jc w:val="both"/>
        <w:rPr>
          <w:rFonts w:cstheme="minorHAnsi"/>
          <w:color w:val="000000"/>
          <w:sz w:val="24"/>
          <w:szCs w:val="24"/>
        </w:rPr>
      </w:pPr>
      <w:r w:rsidRPr="00F57DA3">
        <w:rPr>
          <w:rFonts w:cstheme="minorHAnsi"/>
          <w:color w:val="000000"/>
          <w:sz w:val="24"/>
          <w:szCs w:val="24"/>
        </w:rPr>
        <w:t xml:space="preserve">The Prevent Duty 2015 </w:t>
      </w:r>
      <w:r>
        <w:rPr>
          <w:rFonts w:cstheme="minorHAnsi"/>
          <w:color w:val="000000"/>
          <w:sz w:val="24"/>
          <w:szCs w:val="24"/>
        </w:rPr>
        <w:t>requires</w:t>
      </w:r>
      <w:r w:rsidRPr="00F57DA3">
        <w:rPr>
          <w:rFonts w:cstheme="minorHAnsi"/>
          <w:color w:val="000000"/>
          <w:sz w:val="24"/>
          <w:szCs w:val="24"/>
        </w:rPr>
        <w:t xml:space="preserve"> local authorities to ensure that publicly-owned venues and resources do not provide a platform for extremists and are not used to disseminate extremist views</w:t>
      </w:r>
      <w:r>
        <w:rPr>
          <w:rFonts w:cstheme="minorHAnsi"/>
          <w:color w:val="000000"/>
          <w:sz w:val="24"/>
          <w:szCs w:val="24"/>
        </w:rPr>
        <w:t>:</w:t>
      </w:r>
    </w:p>
    <w:p w14:paraId="40AB9725" w14:textId="77777777" w:rsidR="00CF06AA" w:rsidRPr="00811FAE" w:rsidRDefault="00CF06AA" w:rsidP="00CF06AA">
      <w:pPr>
        <w:autoSpaceDE w:val="0"/>
        <w:autoSpaceDN w:val="0"/>
        <w:adjustRightInd w:val="0"/>
        <w:spacing w:after="40" w:line="241" w:lineRule="atLeast"/>
        <w:jc w:val="both"/>
        <w:rPr>
          <w:rFonts w:ascii="HelveticaNeueLT Pro 45 Lt" w:eastAsiaTheme="minorHAnsi" w:hAnsi="HelveticaNeueLT Pro 45 Lt" w:cs="HelveticaNeueLT Pro 45 Lt"/>
          <w:i/>
          <w:iCs/>
          <w:color w:val="000000"/>
          <w:sz w:val="23"/>
          <w:szCs w:val="23"/>
          <w:lang w:eastAsia="en-US"/>
        </w:rPr>
      </w:pPr>
      <w:r w:rsidRPr="00811FAE">
        <w:rPr>
          <w:rFonts w:ascii="HelveticaNeueLT Pro 45 Lt" w:eastAsiaTheme="minorHAnsi" w:hAnsi="HelveticaNeueLT Pro 45 Lt" w:cs="HelveticaNeueLT Pro 45 Lt"/>
          <w:i/>
          <w:iCs/>
          <w:color w:val="000000"/>
          <w:sz w:val="23"/>
          <w:szCs w:val="23"/>
          <w:lang w:eastAsia="en-US"/>
        </w:rPr>
        <w:t xml:space="preserve">‘There is a public sector venue hire policy in place that ensures that measures are taken to prevent local authority venues being used by radicalisers to spread or promote terrorist ideologies and extremist narratives used to support them’ </w:t>
      </w:r>
    </w:p>
    <w:p w14:paraId="11D233EC" w14:textId="77777777" w:rsidR="00CF06AA" w:rsidRPr="00811FAE" w:rsidRDefault="00CF06AA" w:rsidP="00CF06AA">
      <w:pPr>
        <w:autoSpaceDE w:val="0"/>
        <w:autoSpaceDN w:val="0"/>
        <w:adjustRightInd w:val="0"/>
        <w:spacing w:after="40" w:line="241" w:lineRule="atLeast"/>
        <w:jc w:val="both"/>
        <w:rPr>
          <w:rFonts w:ascii="HelveticaNeueLT Pro 45 Lt" w:eastAsiaTheme="minorHAnsi" w:hAnsi="HelveticaNeueLT Pro 45 Lt" w:cs="HelveticaNeueLT Pro 45 Lt"/>
          <w:i/>
          <w:iCs/>
          <w:color w:val="000000"/>
          <w:sz w:val="23"/>
          <w:szCs w:val="23"/>
          <w:lang w:eastAsia="en-US"/>
        </w:rPr>
      </w:pPr>
    </w:p>
    <w:p w14:paraId="481E912B" w14:textId="77777777" w:rsidR="00CF06AA" w:rsidRDefault="00CF06AA" w:rsidP="00CF06AA">
      <w:pPr>
        <w:autoSpaceDE w:val="0"/>
        <w:autoSpaceDN w:val="0"/>
        <w:adjustRightInd w:val="0"/>
        <w:spacing w:after="40" w:line="241" w:lineRule="atLeast"/>
        <w:jc w:val="both"/>
        <w:rPr>
          <w:rFonts w:ascii="HelveticaNeueLT Pro 45 Lt" w:eastAsiaTheme="minorHAnsi" w:hAnsi="HelveticaNeueLT Pro 45 Lt" w:cs="HelveticaNeueLT Pro 45 Lt"/>
          <w:color w:val="000000"/>
          <w:sz w:val="23"/>
          <w:szCs w:val="23"/>
          <w:lang w:eastAsia="en-US"/>
        </w:rPr>
      </w:pPr>
      <w:r w:rsidRPr="00811FAE">
        <w:rPr>
          <w:rFonts w:ascii="HelveticaNeueLT Pro 45 Lt" w:eastAsiaTheme="minorHAnsi" w:hAnsi="HelveticaNeueLT Pro 45 Lt" w:cs="HelveticaNeueLT Pro 45 Lt"/>
          <w:i/>
          <w:iCs/>
          <w:color w:val="000000"/>
          <w:sz w:val="23"/>
          <w:szCs w:val="23"/>
          <w:lang w:eastAsia="en-US"/>
        </w:rPr>
        <w:t>Venue hire staff have access to training on due diligence, including for public sector staff who deal with venue hire’</w:t>
      </w:r>
      <w:r w:rsidRPr="00811FAE">
        <w:rPr>
          <w:rFonts w:ascii="HelveticaNeueLT Pro 45 Lt" w:eastAsiaTheme="minorHAnsi" w:hAnsi="HelveticaNeueLT Pro 45 Lt" w:cs="HelveticaNeueLT Pro 45 Lt"/>
          <w:color w:val="000000"/>
          <w:sz w:val="23"/>
          <w:szCs w:val="23"/>
          <w:lang w:eastAsia="en-US"/>
        </w:rPr>
        <w:t xml:space="preserve">. </w:t>
      </w:r>
    </w:p>
    <w:p w14:paraId="57B3ED72" w14:textId="77777777" w:rsidR="00CF06AA" w:rsidRPr="00811FAE" w:rsidRDefault="00CF06AA" w:rsidP="00CF06AA">
      <w:pPr>
        <w:autoSpaceDE w:val="0"/>
        <w:autoSpaceDN w:val="0"/>
        <w:adjustRightInd w:val="0"/>
        <w:spacing w:after="40" w:line="241" w:lineRule="atLeast"/>
        <w:jc w:val="both"/>
        <w:rPr>
          <w:rFonts w:ascii="HelveticaNeueLT Pro 45 Lt" w:eastAsiaTheme="minorHAnsi" w:hAnsi="HelveticaNeueLT Pro 45 Lt" w:cs="HelveticaNeueLT Pro 45 Lt"/>
          <w:color w:val="000000"/>
          <w:sz w:val="23"/>
          <w:szCs w:val="23"/>
          <w:lang w:eastAsia="en-US"/>
        </w:rPr>
      </w:pPr>
    </w:p>
    <w:p w14:paraId="2CA90B8D" w14:textId="77777777" w:rsidR="00CF06AA" w:rsidRDefault="00CF06AA" w:rsidP="00CF06AA">
      <w:pPr>
        <w:autoSpaceDE w:val="0"/>
        <w:autoSpaceDN w:val="0"/>
        <w:adjustRightInd w:val="0"/>
        <w:spacing w:after="220" w:line="241" w:lineRule="atLeast"/>
        <w:jc w:val="both"/>
        <w:rPr>
          <w:rFonts w:eastAsiaTheme="minorHAnsi" w:cstheme="minorHAnsi"/>
          <w:color w:val="000000"/>
          <w:sz w:val="24"/>
          <w:szCs w:val="24"/>
          <w:lang w:eastAsia="en-US"/>
        </w:rPr>
      </w:pPr>
      <w:r w:rsidRPr="00F57DA3">
        <w:rPr>
          <w:rFonts w:eastAsiaTheme="minorHAnsi" w:cstheme="minorHAnsi"/>
          <w:color w:val="000000"/>
          <w:sz w:val="24"/>
          <w:szCs w:val="24"/>
          <w:lang w:eastAsia="en-US"/>
        </w:rPr>
        <w:t xml:space="preserve">Local authorities should </w:t>
      </w:r>
      <w:r>
        <w:rPr>
          <w:rFonts w:eastAsiaTheme="minorHAnsi" w:cstheme="minorHAnsi"/>
          <w:color w:val="000000"/>
          <w:sz w:val="24"/>
          <w:szCs w:val="24"/>
          <w:lang w:eastAsia="en-US"/>
        </w:rPr>
        <w:t xml:space="preserve">also </w:t>
      </w:r>
      <w:r w:rsidRPr="00F57DA3">
        <w:rPr>
          <w:rFonts w:eastAsiaTheme="minorHAnsi" w:cstheme="minorHAnsi"/>
          <w:color w:val="000000"/>
          <w:sz w:val="24"/>
          <w:szCs w:val="24"/>
          <w:lang w:eastAsia="en-US"/>
        </w:rPr>
        <w:t xml:space="preserve">provide guidance and support for </w:t>
      </w:r>
      <w:r w:rsidRPr="00E32561">
        <w:rPr>
          <w:rFonts w:eastAsiaTheme="minorHAnsi" w:cstheme="minorHAnsi"/>
          <w:color w:val="000000"/>
          <w:sz w:val="24"/>
          <w:szCs w:val="24"/>
          <w:lang w:eastAsia="en-US"/>
        </w:rPr>
        <w:t>other organisations</w:t>
      </w:r>
      <w:r w:rsidRPr="00F57DA3">
        <w:rPr>
          <w:rFonts w:eastAsiaTheme="minorHAnsi" w:cstheme="minorHAnsi"/>
          <w:color w:val="000000"/>
          <w:sz w:val="24"/>
          <w:szCs w:val="24"/>
          <w:lang w:eastAsia="en-US"/>
        </w:rPr>
        <w:t xml:space="preserve"> within their areas to ensure that they do not inadvertently provide platforms for radicalisers</w:t>
      </w:r>
      <w:r>
        <w:rPr>
          <w:rFonts w:eastAsiaTheme="minorHAnsi" w:cstheme="minorHAnsi"/>
          <w:color w:val="000000"/>
          <w:sz w:val="24"/>
          <w:szCs w:val="24"/>
          <w:lang w:eastAsia="en-US"/>
        </w:rPr>
        <w:t xml:space="preserve">.  </w:t>
      </w:r>
    </w:p>
    <w:p w14:paraId="6C2CF198" w14:textId="77777777" w:rsidR="00CF06AA" w:rsidRDefault="00CF06AA" w:rsidP="00CF06AA">
      <w:pPr>
        <w:jc w:val="both"/>
        <w:rPr>
          <w:rFonts w:cstheme="minorHAnsi"/>
          <w:sz w:val="24"/>
          <w:szCs w:val="24"/>
        </w:rPr>
      </w:pPr>
      <w:r w:rsidRPr="0007091D">
        <w:rPr>
          <w:rFonts w:cs="Helvetica Neue"/>
          <w:color w:val="000000"/>
          <w:sz w:val="24"/>
          <w:szCs w:val="24"/>
        </w:rPr>
        <w:t>Local authorities should ensure they are familiar with their legal obligations under Equality Law and how this relates to their policy on gender segregation which may occur at events and meetings held on their estate or in connection with their activities.  Local authorities should also consider these obligations in the context of implementing the Prevent Duty.</w:t>
      </w:r>
      <w:r w:rsidRPr="0007091D">
        <w:rPr>
          <w:rFonts w:cstheme="minorHAnsi"/>
          <w:sz w:val="24"/>
          <w:szCs w:val="24"/>
        </w:rPr>
        <w:t xml:space="preserve">  </w:t>
      </w:r>
      <w:r w:rsidRPr="0007091D">
        <w:rPr>
          <w:rFonts w:cstheme="minorHAnsi"/>
          <w:b/>
          <w:bCs/>
          <w:sz w:val="24"/>
          <w:szCs w:val="24"/>
        </w:rPr>
        <w:t>See further information in the Prevent Duty toolkit</w:t>
      </w:r>
      <w:r w:rsidRPr="0007091D">
        <w:rPr>
          <w:rFonts w:cstheme="minorHAnsi"/>
          <w:sz w:val="24"/>
          <w:szCs w:val="24"/>
        </w:rPr>
        <w:t>.</w:t>
      </w:r>
      <w:r w:rsidRPr="0007091D">
        <w:rPr>
          <w:rStyle w:val="FootnoteReference"/>
          <w:rFonts w:cstheme="minorHAnsi"/>
          <w:sz w:val="24"/>
          <w:szCs w:val="24"/>
        </w:rPr>
        <w:footnoteReference w:id="1"/>
      </w:r>
    </w:p>
    <w:p w14:paraId="133D381A" w14:textId="77777777" w:rsidR="00CF06AA" w:rsidRDefault="00CF06AA" w:rsidP="00CF06AA">
      <w:pPr>
        <w:jc w:val="both"/>
        <w:rPr>
          <w:rFonts w:eastAsiaTheme="minorHAnsi" w:cstheme="minorHAnsi"/>
          <w:color w:val="000000"/>
          <w:sz w:val="24"/>
          <w:szCs w:val="24"/>
          <w:lang w:eastAsia="en-US"/>
        </w:rPr>
      </w:pPr>
      <w:r>
        <w:rPr>
          <w:rFonts w:eastAsiaTheme="minorHAnsi" w:cstheme="minorHAnsi"/>
          <w:color w:val="000000"/>
          <w:sz w:val="24"/>
          <w:szCs w:val="24"/>
          <w:lang w:eastAsia="en-US"/>
        </w:rPr>
        <w:t xml:space="preserve">This policy should be publicised on the </w:t>
      </w:r>
      <w:r w:rsidRPr="00CF06AA">
        <w:rPr>
          <w:rFonts w:eastAsiaTheme="minorHAnsi" w:cstheme="minorHAnsi"/>
          <w:color w:val="000000"/>
          <w:sz w:val="24"/>
          <w:szCs w:val="24"/>
          <w:lang w:eastAsia="en-US"/>
        </w:rPr>
        <w:t>Council’s website</w:t>
      </w:r>
      <w:r>
        <w:rPr>
          <w:rFonts w:eastAsiaTheme="minorHAnsi" w:cstheme="minorHAnsi"/>
          <w:color w:val="000000"/>
          <w:sz w:val="24"/>
          <w:szCs w:val="24"/>
          <w:lang w:eastAsia="en-US"/>
        </w:rPr>
        <w:t xml:space="preserve"> as part of the Council’s Prevent information and cascaded to Council staff responsible for venue hire as well as local organisations that hire out venues including parish and town councils and community organisations.</w:t>
      </w:r>
    </w:p>
    <w:p w14:paraId="2E9DF5DE" w14:textId="77777777" w:rsidR="00CF06AA" w:rsidRPr="00C245A1" w:rsidRDefault="00CF06AA" w:rsidP="00CF06AA">
      <w:pPr>
        <w:jc w:val="both"/>
        <w:rPr>
          <w:rFonts w:cstheme="minorHAnsi"/>
          <w:sz w:val="24"/>
          <w:szCs w:val="24"/>
        </w:rPr>
      </w:pPr>
    </w:p>
    <w:p w14:paraId="7CEE16DE" w14:textId="77777777" w:rsidR="00CF06AA" w:rsidRDefault="00CF06AA" w:rsidP="00CF06AA">
      <w:pPr>
        <w:autoSpaceDE w:val="0"/>
        <w:autoSpaceDN w:val="0"/>
        <w:adjustRightInd w:val="0"/>
        <w:spacing w:after="0" w:line="321" w:lineRule="atLeast"/>
        <w:jc w:val="both"/>
        <w:rPr>
          <w:rFonts w:eastAsiaTheme="minorHAnsi" w:cstheme="minorHAnsi"/>
          <w:b/>
          <w:bCs/>
          <w:color w:val="000000"/>
          <w:sz w:val="28"/>
          <w:szCs w:val="28"/>
          <w:lang w:eastAsia="en-US"/>
        </w:rPr>
      </w:pPr>
      <w:r w:rsidRPr="00F57DA3">
        <w:rPr>
          <w:rFonts w:eastAsiaTheme="minorHAnsi" w:cstheme="minorHAnsi"/>
          <w:b/>
          <w:bCs/>
          <w:color w:val="000000"/>
          <w:sz w:val="28"/>
          <w:szCs w:val="28"/>
          <w:lang w:eastAsia="en-US"/>
        </w:rPr>
        <w:t xml:space="preserve">Speaker </w:t>
      </w:r>
      <w:r w:rsidRPr="00C840DF">
        <w:rPr>
          <w:rFonts w:eastAsiaTheme="minorHAnsi" w:cstheme="minorHAnsi"/>
          <w:b/>
          <w:bCs/>
          <w:color w:val="000000"/>
          <w:sz w:val="28"/>
          <w:szCs w:val="28"/>
          <w:lang w:eastAsia="en-US"/>
        </w:rPr>
        <w:t>P</w:t>
      </w:r>
      <w:r w:rsidRPr="00F57DA3">
        <w:rPr>
          <w:rFonts w:eastAsiaTheme="minorHAnsi" w:cstheme="minorHAnsi"/>
          <w:b/>
          <w:bCs/>
          <w:color w:val="000000"/>
          <w:sz w:val="28"/>
          <w:szCs w:val="28"/>
          <w:lang w:eastAsia="en-US"/>
        </w:rPr>
        <w:t xml:space="preserve">olicy </w:t>
      </w:r>
      <w:r>
        <w:rPr>
          <w:rFonts w:eastAsiaTheme="minorHAnsi" w:cstheme="minorHAnsi"/>
          <w:b/>
          <w:bCs/>
          <w:color w:val="000000"/>
          <w:sz w:val="28"/>
          <w:szCs w:val="28"/>
          <w:lang w:eastAsia="en-US"/>
        </w:rPr>
        <w:t>and Guidance</w:t>
      </w:r>
    </w:p>
    <w:p w14:paraId="54F03EF4" w14:textId="77777777" w:rsidR="00CF06AA" w:rsidRPr="000116DF" w:rsidRDefault="00CF06AA" w:rsidP="00CF06AA">
      <w:pPr>
        <w:autoSpaceDE w:val="0"/>
        <w:autoSpaceDN w:val="0"/>
        <w:adjustRightInd w:val="0"/>
        <w:spacing w:after="0" w:line="321" w:lineRule="atLeast"/>
        <w:jc w:val="both"/>
        <w:rPr>
          <w:rFonts w:eastAsiaTheme="minorHAnsi" w:cstheme="minorHAnsi"/>
          <w:b/>
          <w:bCs/>
          <w:color w:val="000000"/>
          <w:sz w:val="28"/>
          <w:szCs w:val="28"/>
          <w:lang w:eastAsia="en-US"/>
        </w:rPr>
      </w:pPr>
      <w:r w:rsidRPr="00F57DA3">
        <w:rPr>
          <w:rFonts w:eastAsiaTheme="minorHAnsi" w:cstheme="minorHAnsi"/>
          <w:color w:val="000000"/>
          <w:sz w:val="24"/>
          <w:szCs w:val="24"/>
          <w:lang w:eastAsia="en-US"/>
        </w:rPr>
        <w:t>Authorities may also</w:t>
      </w:r>
      <w:r>
        <w:rPr>
          <w:rFonts w:eastAsiaTheme="minorHAnsi" w:cstheme="minorHAnsi"/>
          <w:color w:val="000000"/>
          <w:sz w:val="24"/>
          <w:szCs w:val="24"/>
          <w:lang w:eastAsia="en-US"/>
        </w:rPr>
        <w:t xml:space="preserve"> put in place</w:t>
      </w:r>
      <w:r w:rsidRPr="00F57DA3">
        <w:rPr>
          <w:rFonts w:eastAsiaTheme="minorHAnsi" w:cstheme="minorHAnsi"/>
          <w:color w:val="000000"/>
          <w:sz w:val="24"/>
          <w:szCs w:val="24"/>
          <w:lang w:eastAsia="en-US"/>
        </w:rPr>
        <w:t xml:space="preserve"> a </w:t>
      </w:r>
      <w:r>
        <w:rPr>
          <w:rFonts w:eastAsiaTheme="minorHAnsi" w:cstheme="minorHAnsi"/>
          <w:color w:val="000000"/>
          <w:sz w:val="24"/>
          <w:szCs w:val="24"/>
          <w:lang w:eastAsia="en-US"/>
        </w:rPr>
        <w:t>‘</w:t>
      </w:r>
      <w:r w:rsidRPr="00F57DA3">
        <w:rPr>
          <w:rFonts w:eastAsiaTheme="minorHAnsi" w:cstheme="minorHAnsi"/>
          <w:color w:val="000000"/>
          <w:sz w:val="24"/>
          <w:szCs w:val="24"/>
          <w:lang w:eastAsia="en-US"/>
        </w:rPr>
        <w:t>speaker</w:t>
      </w:r>
      <w:r>
        <w:rPr>
          <w:rFonts w:eastAsiaTheme="minorHAnsi" w:cstheme="minorHAnsi"/>
          <w:color w:val="000000"/>
          <w:sz w:val="24"/>
          <w:szCs w:val="24"/>
          <w:lang w:eastAsia="en-US"/>
        </w:rPr>
        <w:t>’</w:t>
      </w:r>
      <w:r w:rsidRPr="00F57DA3">
        <w:rPr>
          <w:rFonts w:eastAsiaTheme="minorHAnsi" w:cstheme="minorHAnsi"/>
          <w:color w:val="000000"/>
          <w:sz w:val="24"/>
          <w:szCs w:val="24"/>
          <w:lang w:eastAsia="en-US"/>
        </w:rPr>
        <w:t xml:space="preserve"> policy which alerts venues in the local area (local authority or otherwise) to the risks associated with designated speakers who are known to be radicalising influences.</w:t>
      </w:r>
      <w:r>
        <w:rPr>
          <w:rFonts w:eastAsiaTheme="minorHAnsi" w:cstheme="minorHAnsi"/>
          <w:color w:val="000000"/>
          <w:sz w:val="24"/>
          <w:szCs w:val="24"/>
          <w:lang w:eastAsia="en-US"/>
        </w:rPr>
        <w:t xml:space="preserve"> </w:t>
      </w:r>
      <w:r w:rsidRPr="00F57DA3">
        <w:rPr>
          <w:rFonts w:eastAsiaTheme="minorHAnsi" w:cstheme="minorHAnsi"/>
          <w:color w:val="000000"/>
          <w:sz w:val="24"/>
          <w:szCs w:val="24"/>
          <w:lang w:eastAsia="en-US"/>
        </w:rPr>
        <w:t xml:space="preserve"> An effective policy should encourage local venue owners to be aware of risks, make local venue owners aware of who they should contact if they require more information on a speaker, and offer advice support around open source</w:t>
      </w:r>
      <w:r>
        <w:rPr>
          <w:rStyle w:val="FootnoteReference"/>
          <w:rFonts w:eastAsiaTheme="minorHAnsi" w:cstheme="minorHAnsi"/>
          <w:color w:val="000000"/>
          <w:sz w:val="24"/>
          <w:szCs w:val="24"/>
          <w:lang w:eastAsia="en-US"/>
        </w:rPr>
        <w:footnoteReference w:id="2"/>
      </w:r>
      <w:r w:rsidRPr="00F57DA3">
        <w:rPr>
          <w:rFonts w:eastAsiaTheme="minorHAnsi" w:cstheme="minorHAnsi"/>
          <w:color w:val="000000"/>
          <w:sz w:val="24"/>
          <w:szCs w:val="24"/>
          <w:lang w:eastAsia="en-US"/>
        </w:rPr>
        <w:t xml:space="preserve"> due diligence where relevant.</w:t>
      </w:r>
    </w:p>
    <w:p w14:paraId="1FABFDAB" w14:textId="77777777" w:rsidR="00CF06AA" w:rsidRDefault="00CF06AA" w:rsidP="00CF06AA">
      <w:pPr>
        <w:autoSpaceDE w:val="0"/>
        <w:autoSpaceDN w:val="0"/>
        <w:adjustRightInd w:val="0"/>
        <w:spacing w:after="220" w:line="241" w:lineRule="atLeast"/>
        <w:jc w:val="both"/>
        <w:rPr>
          <w:rFonts w:eastAsiaTheme="minorHAnsi" w:cstheme="minorHAnsi"/>
          <w:color w:val="000000"/>
          <w:sz w:val="24"/>
          <w:szCs w:val="24"/>
          <w:lang w:eastAsia="en-US"/>
        </w:rPr>
      </w:pPr>
    </w:p>
    <w:p w14:paraId="242F5999" w14:textId="77777777" w:rsidR="00CF06AA" w:rsidRPr="00C245A1" w:rsidRDefault="00CF06AA" w:rsidP="00CF06AA">
      <w:pPr>
        <w:spacing w:after="0"/>
        <w:jc w:val="both"/>
        <w:rPr>
          <w:rFonts w:cstheme="minorHAnsi"/>
          <w:b/>
          <w:bCs/>
          <w:sz w:val="28"/>
          <w:szCs w:val="28"/>
        </w:rPr>
      </w:pPr>
      <w:r w:rsidRPr="00C245A1">
        <w:rPr>
          <w:rFonts w:cstheme="minorHAnsi"/>
          <w:b/>
          <w:bCs/>
          <w:sz w:val="28"/>
          <w:szCs w:val="28"/>
        </w:rPr>
        <w:t>Venue and Speaker Checklist</w:t>
      </w:r>
    </w:p>
    <w:p w14:paraId="478CF934" w14:textId="77777777" w:rsidR="00CF06AA" w:rsidRPr="000116DF" w:rsidRDefault="00CF06AA" w:rsidP="00CF06AA">
      <w:pPr>
        <w:spacing w:after="0"/>
        <w:jc w:val="both"/>
        <w:rPr>
          <w:rFonts w:cstheme="minorHAnsi"/>
          <w:b/>
          <w:bCs/>
          <w:sz w:val="24"/>
          <w:szCs w:val="24"/>
        </w:rPr>
      </w:pPr>
      <w:r w:rsidRPr="00D01800">
        <w:rPr>
          <w:rFonts w:cstheme="minorHAnsi"/>
          <w:sz w:val="24"/>
          <w:szCs w:val="24"/>
        </w:rPr>
        <w:t>Th</w:t>
      </w:r>
      <w:r>
        <w:rPr>
          <w:rFonts w:cstheme="minorHAnsi"/>
          <w:sz w:val="24"/>
          <w:szCs w:val="24"/>
        </w:rPr>
        <w:t>e</w:t>
      </w:r>
      <w:r w:rsidRPr="00D01800">
        <w:rPr>
          <w:rFonts w:cstheme="minorHAnsi"/>
          <w:sz w:val="24"/>
          <w:szCs w:val="24"/>
        </w:rPr>
        <w:t xml:space="preserve"> checklist provide</w:t>
      </w:r>
      <w:r>
        <w:rPr>
          <w:rFonts w:cstheme="minorHAnsi"/>
          <w:sz w:val="24"/>
          <w:szCs w:val="24"/>
        </w:rPr>
        <w:t>s</w:t>
      </w:r>
      <w:r w:rsidRPr="00D01800">
        <w:rPr>
          <w:rFonts w:cstheme="minorHAnsi"/>
          <w:sz w:val="24"/>
          <w:szCs w:val="24"/>
        </w:rPr>
        <w:t xml:space="preserve"> guidance for </w:t>
      </w:r>
      <w:r>
        <w:rPr>
          <w:rFonts w:cstheme="minorHAnsi"/>
          <w:sz w:val="24"/>
          <w:szCs w:val="24"/>
        </w:rPr>
        <w:t xml:space="preserve">organisations and staff </w:t>
      </w:r>
      <w:r w:rsidRPr="00D01800">
        <w:rPr>
          <w:rFonts w:cstheme="minorHAnsi"/>
          <w:sz w:val="24"/>
          <w:szCs w:val="24"/>
        </w:rPr>
        <w:t xml:space="preserve">who are responsible for booking venues to consider questions regarding who may be booking a venue, and why. It is intended to fulfil the </w:t>
      </w:r>
      <w:r w:rsidRPr="00D01800">
        <w:rPr>
          <w:rFonts w:cstheme="minorHAnsi"/>
          <w:i/>
          <w:sz w:val="24"/>
          <w:szCs w:val="24"/>
        </w:rPr>
        <w:t xml:space="preserve">Prevent </w:t>
      </w:r>
      <w:r w:rsidRPr="00D01800">
        <w:rPr>
          <w:rFonts w:cstheme="minorHAnsi"/>
          <w:sz w:val="24"/>
          <w:szCs w:val="24"/>
        </w:rPr>
        <w:t xml:space="preserve">Duty </w:t>
      </w:r>
      <w:r>
        <w:rPr>
          <w:rFonts w:cstheme="minorHAnsi"/>
          <w:sz w:val="24"/>
          <w:szCs w:val="24"/>
        </w:rPr>
        <w:t xml:space="preserve">2015 </w:t>
      </w:r>
      <w:r w:rsidRPr="00D01800">
        <w:rPr>
          <w:rFonts w:cstheme="minorHAnsi"/>
          <w:sz w:val="24"/>
          <w:szCs w:val="24"/>
        </w:rPr>
        <w:t xml:space="preserve">which </w:t>
      </w:r>
      <w:r w:rsidRPr="00D01800">
        <w:rPr>
          <w:rFonts w:cstheme="minorHAnsi"/>
          <w:color w:val="333333"/>
          <w:sz w:val="24"/>
          <w:szCs w:val="24"/>
        </w:rPr>
        <w:t>is about keeping people and communities safe from the threat of terrorism</w:t>
      </w:r>
      <w:r w:rsidRPr="00D01800">
        <w:rPr>
          <w:rFonts w:cstheme="minorHAnsi"/>
          <w:sz w:val="24"/>
          <w:szCs w:val="24"/>
        </w:rPr>
        <w:t xml:space="preserve"> to ensure that publicly owned venues do not provide a platform for extremists</w:t>
      </w:r>
      <w:r w:rsidRPr="00AD3398">
        <w:rPr>
          <w:rFonts w:cstheme="minorHAnsi"/>
          <w:sz w:val="24"/>
          <w:szCs w:val="24"/>
        </w:rPr>
        <w:t xml:space="preserve"> and are not used to disseminate extremist views.</w:t>
      </w:r>
      <w:r>
        <w:rPr>
          <w:rFonts w:cstheme="minorHAnsi"/>
          <w:sz w:val="24"/>
          <w:szCs w:val="24"/>
        </w:rPr>
        <w:t xml:space="preserve"> </w:t>
      </w:r>
    </w:p>
    <w:p w14:paraId="064129B1" w14:textId="77777777" w:rsidR="00CF06AA" w:rsidRPr="00F57DA3" w:rsidRDefault="00CF06AA" w:rsidP="00CF06AA">
      <w:pPr>
        <w:autoSpaceDE w:val="0"/>
        <w:autoSpaceDN w:val="0"/>
        <w:adjustRightInd w:val="0"/>
        <w:spacing w:after="220" w:line="241" w:lineRule="atLeast"/>
        <w:jc w:val="both"/>
        <w:rPr>
          <w:rFonts w:eastAsiaTheme="minorHAnsi" w:cstheme="minorHAnsi"/>
          <w:color w:val="000000"/>
          <w:sz w:val="24"/>
          <w:szCs w:val="24"/>
          <w:lang w:eastAsia="en-US"/>
        </w:rPr>
      </w:pPr>
    </w:p>
    <w:p w14:paraId="0CE93110" w14:textId="77777777" w:rsidR="00CF06AA" w:rsidRPr="000820DF" w:rsidRDefault="00CF06AA" w:rsidP="00CF06AA">
      <w:pPr>
        <w:autoSpaceDE w:val="0"/>
        <w:autoSpaceDN w:val="0"/>
        <w:adjustRightInd w:val="0"/>
        <w:spacing w:before="100" w:after="220" w:line="321" w:lineRule="atLeast"/>
        <w:jc w:val="both"/>
        <w:rPr>
          <w:rFonts w:eastAsiaTheme="minorHAnsi" w:cstheme="minorHAnsi"/>
          <w:b/>
          <w:bCs/>
          <w:color w:val="000000"/>
          <w:sz w:val="28"/>
          <w:szCs w:val="28"/>
          <w:lang w:eastAsia="en-US"/>
        </w:rPr>
      </w:pPr>
      <w:r w:rsidRPr="000820DF">
        <w:rPr>
          <w:rFonts w:eastAsiaTheme="minorHAnsi" w:cstheme="minorHAnsi"/>
          <w:b/>
          <w:bCs/>
          <w:color w:val="000000"/>
          <w:sz w:val="28"/>
          <w:szCs w:val="28"/>
          <w:lang w:eastAsia="en-US"/>
        </w:rPr>
        <w:t xml:space="preserve">Non-local authority owned premises </w:t>
      </w:r>
    </w:p>
    <w:p w14:paraId="690BEA68" w14:textId="77777777" w:rsidR="00CF06AA" w:rsidRPr="000820DF" w:rsidRDefault="00CF06AA" w:rsidP="00CF06AA">
      <w:pPr>
        <w:autoSpaceDE w:val="0"/>
        <w:autoSpaceDN w:val="0"/>
        <w:adjustRightInd w:val="0"/>
        <w:spacing w:after="220" w:line="241" w:lineRule="atLeast"/>
        <w:jc w:val="both"/>
        <w:rPr>
          <w:rFonts w:eastAsiaTheme="minorHAnsi" w:cstheme="minorHAnsi"/>
          <w:color w:val="000000"/>
          <w:sz w:val="24"/>
          <w:szCs w:val="24"/>
          <w:lang w:eastAsia="en-US"/>
        </w:rPr>
      </w:pPr>
      <w:r w:rsidRPr="000820DF">
        <w:rPr>
          <w:rFonts w:eastAsiaTheme="minorHAnsi" w:cstheme="minorHAnsi"/>
          <w:color w:val="000000"/>
          <w:sz w:val="24"/>
          <w:szCs w:val="24"/>
          <w:lang w:eastAsia="en-US"/>
        </w:rPr>
        <w:t xml:space="preserve">In relation to non-local authority owned premises there are a number of issues to consider: </w:t>
      </w:r>
    </w:p>
    <w:p w14:paraId="092C8F72" w14:textId="77777777" w:rsidR="00CF06AA" w:rsidRDefault="00CF06AA" w:rsidP="00CF06AA">
      <w:pPr>
        <w:numPr>
          <w:ilvl w:val="0"/>
          <w:numId w:val="1"/>
        </w:numPr>
        <w:autoSpaceDE w:val="0"/>
        <w:autoSpaceDN w:val="0"/>
        <w:adjustRightInd w:val="0"/>
        <w:spacing w:after="78" w:line="240" w:lineRule="auto"/>
        <w:jc w:val="both"/>
        <w:rPr>
          <w:rFonts w:eastAsiaTheme="minorHAnsi" w:cstheme="minorHAnsi"/>
          <w:color w:val="000000"/>
          <w:sz w:val="24"/>
          <w:szCs w:val="24"/>
          <w:lang w:eastAsia="en-US"/>
        </w:rPr>
      </w:pPr>
      <w:r w:rsidRPr="000820DF">
        <w:rPr>
          <w:rFonts w:eastAsiaTheme="minorHAnsi" w:cstheme="minorHAnsi"/>
          <w:b/>
          <w:bCs/>
          <w:color w:val="000000"/>
          <w:sz w:val="24"/>
          <w:szCs w:val="24"/>
          <w:lang w:eastAsia="en-US"/>
        </w:rPr>
        <w:t xml:space="preserve">Health and safety considerations: </w:t>
      </w:r>
      <w:r w:rsidRPr="000820DF">
        <w:rPr>
          <w:rFonts w:eastAsiaTheme="minorHAnsi" w:cstheme="minorHAnsi"/>
          <w:color w:val="000000"/>
          <w:sz w:val="24"/>
          <w:szCs w:val="24"/>
          <w:lang w:eastAsia="en-US"/>
        </w:rPr>
        <w:t>Some events can attract significant attendance with the potential for disorder outside their premises and health and safety implications for their staff.</w:t>
      </w:r>
      <w:r>
        <w:rPr>
          <w:rFonts w:eastAsiaTheme="minorHAnsi" w:cstheme="minorHAnsi"/>
          <w:color w:val="000000"/>
          <w:sz w:val="24"/>
          <w:szCs w:val="24"/>
          <w:lang w:eastAsia="en-US"/>
        </w:rPr>
        <w:t xml:space="preserve">  </w:t>
      </w:r>
      <w:r w:rsidRPr="000820DF">
        <w:rPr>
          <w:rFonts w:eastAsiaTheme="minorHAnsi" w:cstheme="minorHAnsi"/>
          <w:color w:val="000000"/>
          <w:sz w:val="24"/>
          <w:szCs w:val="24"/>
          <w:lang w:eastAsia="en-US"/>
        </w:rPr>
        <w:t>Local authorities may want to assess the risk and advise private venues accordingly.</w:t>
      </w:r>
    </w:p>
    <w:p w14:paraId="0D87BEF7" w14:textId="77777777" w:rsidR="00CF06AA" w:rsidRPr="000820DF" w:rsidRDefault="00CF06AA" w:rsidP="00CF06AA">
      <w:pPr>
        <w:numPr>
          <w:ilvl w:val="0"/>
          <w:numId w:val="1"/>
        </w:numPr>
        <w:autoSpaceDE w:val="0"/>
        <w:autoSpaceDN w:val="0"/>
        <w:adjustRightInd w:val="0"/>
        <w:spacing w:after="78" w:line="240" w:lineRule="auto"/>
        <w:jc w:val="both"/>
        <w:rPr>
          <w:rFonts w:eastAsiaTheme="minorHAnsi" w:cstheme="minorHAnsi"/>
          <w:color w:val="000000"/>
          <w:sz w:val="24"/>
          <w:szCs w:val="24"/>
          <w:lang w:eastAsia="en-US"/>
        </w:rPr>
      </w:pPr>
    </w:p>
    <w:p w14:paraId="2BB5C633" w14:textId="77777777" w:rsidR="00CF06AA" w:rsidRDefault="00CF06AA" w:rsidP="00CF06AA">
      <w:pPr>
        <w:numPr>
          <w:ilvl w:val="0"/>
          <w:numId w:val="1"/>
        </w:numPr>
        <w:autoSpaceDE w:val="0"/>
        <w:autoSpaceDN w:val="0"/>
        <w:adjustRightInd w:val="0"/>
        <w:spacing w:after="0" w:line="240" w:lineRule="auto"/>
        <w:jc w:val="both"/>
        <w:rPr>
          <w:rFonts w:eastAsiaTheme="minorHAnsi" w:cstheme="minorHAnsi"/>
          <w:color w:val="000000"/>
          <w:sz w:val="24"/>
          <w:szCs w:val="24"/>
          <w:lang w:eastAsia="en-US"/>
        </w:rPr>
      </w:pPr>
      <w:r w:rsidRPr="000820DF">
        <w:rPr>
          <w:rFonts w:eastAsiaTheme="minorHAnsi" w:cstheme="minorHAnsi"/>
          <w:b/>
          <w:bCs/>
          <w:color w:val="000000"/>
          <w:sz w:val="24"/>
          <w:szCs w:val="24"/>
          <w:lang w:eastAsia="en-US"/>
        </w:rPr>
        <w:t xml:space="preserve">Regulations: </w:t>
      </w:r>
      <w:r w:rsidRPr="000820DF">
        <w:rPr>
          <w:rFonts w:eastAsiaTheme="minorHAnsi" w:cstheme="minorHAnsi"/>
          <w:color w:val="000000"/>
          <w:sz w:val="24"/>
          <w:szCs w:val="24"/>
          <w:lang w:eastAsia="en-US"/>
        </w:rPr>
        <w:t xml:space="preserve">A range of regulations are relevant to events (e.g., licensing, environmental health, noise pollution) and discussion should be had to look at whether an event confirms to the relevant regulations. </w:t>
      </w:r>
    </w:p>
    <w:p w14:paraId="1AE69136" w14:textId="77777777" w:rsidR="00831496" w:rsidRDefault="00831496" w:rsidP="00831496">
      <w:pPr>
        <w:pStyle w:val="ListParagraph"/>
        <w:rPr>
          <w:rFonts w:eastAsiaTheme="minorHAnsi" w:cstheme="minorHAnsi"/>
          <w:color w:val="000000"/>
          <w:sz w:val="24"/>
          <w:szCs w:val="24"/>
          <w:lang w:eastAsia="en-US"/>
        </w:rPr>
      </w:pPr>
    </w:p>
    <w:p w14:paraId="16B43875" w14:textId="77777777" w:rsidR="00831496" w:rsidRDefault="00831496" w:rsidP="00831496">
      <w:pPr>
        <w:autoSpaceDE w:val="0"/>
        <w:autoSpaceDN w:val="0"/>
        <w:adjustRightInd w:val="0"/>
        <w:spacing w:after="0" w:line="240" w:lineRule="auto"/>
        <w:jc w:val="both"/>
        <w:rPr>
          <w:rFonts w:eastAsiaTheme="minorHAnsi" w:cstheme="minorHAnsi"/>
          <w:color w:val="000000"/>
          <w:sz w:val="24"/>
          <w:szCs w:val="24"/>
          <w:lang w:eastAsia="en-US"/>
        </w:rPr>
      </w:pPr>
    </w:p>
    <w:p w14:paraId="334C095E" w14:textId="77777777" w:rsidR="00E32561" w:rsidRDefault="00E32561" w:rsidP="00E32561">
      <w:pPr>
        <w:pStyle w:val="ListParagraph"/>
        <w:rPr>
          <w:rFonts w:eastAsiaTheme="minorHAnsi" w:cstheme="minorHAnsi"/>
          <w:color w:val="000000"/>
          <w:sz w:val="24"/>
          <w:szCs w:val="24"/>
          <w:lang w:eastAsia="en-US"/>
        </w:rPr>
      </w:pPr>
    </w:p>
    <w:p w14:paraId="2673608F" w14:textId="77777777" w:rsidR="00E32561" w:rsidRPr="000820DF" w:rsidRDefault="00E32561" w:rsidP="00CF06AA">
      <w:pPr>
        <w:numPr>
          <w:ilvl w:val="0"/>
          <w:numId w:val="1"/>
        </w:numPr>
        <w:autoSpaceDE w:val="0"/>
        <w:autoSpaceDN w:val="0"/>
        <w:adjustRightInd w:val="0"/>
        <w:spacing w:after="0" w:line="240" w:lineRule="auto"/>
        <w:jc w:val="both"/>
        <w:rPr>
          <w:rFonts w:eastAsiaTheme="minorHAnsi" w:cstheme="minorHAnsi"/>
          <w:color w:val="000000"/>
          <w:sz w:val="24"/>
          <w:szCs w:val="24"/>
          <w:lang w:eastAsia="en-US"/>
        </w:rPr>
      </w:pPr>
    </w:p>
    <w:p w14:paraId="77815C67" w14:textId="77777777" w:rsidR="00CF06AA" w:rsidRDefault="00CF06AA" w:rsidP="00CF06AA">
      <w:pPr>
        <w:jc w:val="both"/>
        <w:rPr>
          <w:rFonts w:cstheme="minorHAnsi"/>
          <w:sz w:val="24"/>
          <w:szCs w:val="24"/>
        </w:rPr>
      </w:pPr>
    </w:p>
    <w:p w14:paraId="536FDDC2" w14:textId="77777777" w:rsidR="0094467A" w:rsidRDefault="0094467A"/>
    <w:sectPr w:rsidR="0094467A">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9EDE7" w14:textId="77777777" w:rsidR="008D720F" w:rsidRDefault="008D720F" w:rsidP="00CF06AA">
      <w:pPr>
        <w:spacing w:after="0" w:line="240" w:lineRule="auto"/>
      </w:pPr>
      <w:r>
        <w:separator/>
      </w:r>
    </w:p>
  </w:endnote>
  <w:endnote w:type="continuationSeparator" w:id="0">
    <w:p w14:paraId="6533A70B" w14:textId="77777777" w:rsidR="008D720F" w:rsidRDefault="008D720F" w:rsidP="00CF0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swiss"/>
    <w:notTrueType/>
    <w:pitch w:val="default"/>
    <w:sig w:usb0="00000003" w:usb1="00000000" w:usb2="00000000" w:usb3="00000000" w:csb0="00000001" w:csb1="00000000"/>
  </w:font>
  <w:font w:name="HelveticaNeueLT Pro 45 L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35A5E" w14:textId="77777777" w:rsidR="00CF06AA" w:rsidRDefault="00CF06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21992" w14:textId="77777777" w:rsidR="00CF06AA" w:rsidRDefault="00CF06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1B18D" w14:textId="77777777" w:rsidR="00CF06AA" w:rsidRDefault="00CF0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E07B5" w14:textId="77777777" w:rsidR="008D720F" w:rsidRDefault="008D720F" w:rsidP="00CF06AA">
      <w:pPr>
        <w:spacing w:after="0" w:line="240" w:lineRule="auto"/>
      </w:pPr>
      <w:r>
        <w:separator/>
      </w:r>
    </w:p>
  </w:footnote>
  <w:footnote w:type="continuationSeparator" w:id="0">
    <w:p w14:paraId="28F4C1D8" w14:textId="77777777" w:rsidR="008D720F" w:rsidRDefault="008D720F" w:rsidP="00CF06AA">
      <w:pPr>
        <w:spacing w:after="0" w:line="240" w:lineRule="auto"/>
      </w:pPr>
      <w:r>
        <w:continuationSeparator/>
      </w:r>
    </w:p>
  </w:footnote>
  <w:footnote w:id="1">
    <w:p w14:paraId="38C2DF5E" w14:textId="77777777" w:rsidR="00CF06AA" w:rsidRDefault="00CF06AA" w:rsidP="00CF06AA">
      <w:pPr>
        <w:pStyle w:val="FootnoteText"/>
      </w:pPr>
      <w:r>
        <w:rPr>
          <w:rStyle w:val="FootnoteReference"/>
        </w:rPr>
        <w:footnoteRef/>
      </w:r>
      <w:hyperlink r:id="rId1" w:history="1">
        <w:r w:rsidRPr="0070702C">
          <w:rPr>
            <w:rStyle w:val="Hyperlink"/>
          </w:rPr>
          <w:t>https://www.gov.uk/government/publications/prevent-duty-toolkit-for-local-authorities/prevent-duty-toolkit-for-local-authorities-accessible</w:t>
        </w:r>
      </w:hyperlink>
    </w:p>
    <w:p w14:paraId="26FFEE0B" w14:textId="77777777" w:rsidR="00CF06AA" w:rsidRDefault="00CF06AA" w:rsidP="00CF06AA">
      <w:pPr>
        <w:pStyle w:val="FootnoteText"/>
      </w:pPr>
      <w:r>
        <w:t xml:space="preserve"> </w:t>
      </w:r>
    </w:p>
  </w:footnote>
  <w:footnote w:id="2">
    <w:p w14:paraId="435BEE1E" w14:textId="77777777" w:rsidR="00CF06AA" w:rsidRDefault="00CF06AA" w:rsidP="00CF06AA">
      <w:pPr>
        <w:pStyle w:val="FootnoteText"/>
      </w:pPr>
      <w:r>
        <w:rPr>
          <w:rStyle w:val="FootnoteReference"/>
        </w:rPr>
        <w:footnoteRef/>
      </w:r>
      <w:r>
        <w:t xml:space="preserve"> An open-source search is a search conducted on the internet for any information that is freely available to the general public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7A5CA9"/>
    <w:multiLevelType w:val="hybridMultilevel"/>
    <w:tmpl w:val="1698528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96589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AA"/>
    <w:rsid w:val="00055623"/>
    <w:rsid w:val="000D5DBE"/>
    <w:rsid w:val="00831496"/>
    <w:rsid w:val="008D720F"/>
    <w:rsid w:val="00901ECB"/>
    <w:rsid w:val="0094467A"/>
    <w:rsid w:val="00C23EAB"/>
    <w:rsid w:val="00CD08A6"/>
    <w:rsid w:val="00CF06AA"/>
    <w:rsid w:val="00E32561"/>
    <w:rsid w:val="00E548EF"/>
    <w:rsid w:val="00E62FC2"/>
    <w:rsid w:val="00FD4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23114"/>
  <w15:chartTrackingRefBased/>
  <w15:docId w15:val="{A1B545A0-E637-4FFE-8BB8-D6AB71CE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6AA"/>
    <w:rPr>
      <w:rFonts w:eastAsiaTheme="minorEastAsia"/>
      <w:kern w:val="0"/>
      <w:lang w:eastAsia="en-GB"/>
    </w:rPr>
  </w:style>
  <w:style w:type="paragraph" w:styleId="Heading1">
    <w:name w:val="heading 1"/>
    <w:basedOn w:val="Normal"/>
    <w:next w:val="Normal"/>
    <w:link w:val="Heading1Char"/>
    <w:uiPriority w:val="9"/>
    <w:qFormat/>
    <w:rsid w:val="00CF06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06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6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6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6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6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6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6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6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6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06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6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6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6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6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6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6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6AA"/>
    <w:rPr>
      <w:rFonts w:eastAsiaTheme="majorEastAsia" w:cstheme="majorBidi"/>
      <w:color w:val="272727" w:themeColor="text1" w:themeTint="D8"/>
    </w:rPr>
  </w:style>
  <w:style w:type="paragraph" w:styleId="Title">
    <w:name w:val="Title"/>
    <w:basedOn w:val="Normal"/>
    <w:next w:val="Normal"/>
    <w:link w:val="TitleChar"/>
    <w:uiPriority w:val="10"/>
    <w:qFormat/>
    <w:rsid w:val="00CF06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6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6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6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6AA"/>
    <w:pPr>
      <w:spacing w:before="160"/>
      <w:jc w:val="center"/>
    </w:pPr>
    <w:rPr>
      <w:i/>
      <w:iCs/>
      <w:color w:val="404040" w:themeColor="text1" w:themeTint="BF"/>
    </w:rPr>
  </w:style>
  <w:style w:type="character" w:customStyle="1" w:styleId="QuoteChar">
    <w:name w:val="Quote Char"/>
    <w:basedOn w:val="DefaultParagraphFont"/>
    <w:link w:val="Quote"/>
    <w:uiPriority w:val="29"/>
    <w:rsid w:val="00CF06AA"/>
    <w:rPr>
      <w:i/>
      <w:iCs/>
      <w:color w:val="404040" w:themeColor="text1" w:themeTint="BF"/>
    </w:rPr>
  </w:style>
  <w:style w:type="paragraph" w:styleId="ListParagraph">
    <w:name w:val="List Paragraph"/>
    <w:basedOn w:val="Normal"/>
    <w:uiPriority w:val="34"/>
    <w:qFormat/>
    <w:rsid w:val="00CF06AA"/>
    <w:pPr>
      <w:ind w:left="720"/>
      <w:contextualSpacing/>
    </w:pPr>
  </w:style>
  <w:style w:type="character" w:styleId="IntenseEmphasis">
    <w:name w:val="Intense Emphasis"/>
    <w:basedOn w:val="DefaultParagraphFont"/>
    <w:uiPriority w:val="21"/>
    <w:qFormat/>
    <w:rsid w:val="00CF06AA"/>
    <w:rPr>
      <w:i/>
      <w:iCs/>
      <w:color w:val="0F4761" w:themeColor="accent1" w:themeShade="BF"/>
    </w:rPr>
  </w:style>
  <w:style w:type="paragraph" w:styleId="IntenseQuote">
    <w:name w:val="Intense Quote"/>
    <w:basedOn w:val="Normal"/>
    <w:next w:val="Normal"/>
    <w:link w:val="IntenseQuoteChar"/>
    <w:uiPriority w:val="30"/>
    <w:qFormat/>
    <w:rsid w:val="00CF06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6AA"/>
    <w:rPr>
      <w:i/>
      <w:iCs/>
      <w:color w:val="0F4761" w:themeColor="accent1" w:themeShade="BF"/>
    </w:rPr>
  </w:style>
  <w:style w:type="character" w:styleId="IntenseReference">
    <w:name w:val="Intense Reference"/>
    <w:basedOn w:val="DefaultParagraphFont"/>
    <w:uiPriority w:val="32"/>
    <w:qFormat/>
    <w:rsid w:val="00CF06AA"/>
    <w:rPr>
      <w:b/>
      <w:bCs/>
      <w:smallCaps/>
      <w:color w:val="0F4761" w:themeColor="accent1" w:themeShade="BF"/>
      <w:spacing w:val="5"/>
    </w:rPr>
  </w:style>
  <w:style w:type="character" w:styleId="Hyperlink">
    <w:name w:val="Hyperlink"/>
    <w:basedOn w:val="DefaultParagraphFont"/>
    <w:uiPriority w:val="99"/>
    <w:unhideWhenUsed/>
    <w:rsid w:val="00CF06AA"/>
    <w:rPr>
      <w:color w:val="467886" w:themeColor="hyperlink"/>
      <w:u w:val="single"/>
    </w:rPr>
  </w:style>
  <w:style w:type="paragraph" w:customStyle="1" w:styleId="Default">
    <w:name w:val="Default"/>
    <w:basedOn w:val="Normal"/>
    <w:rsid w:val="00CF06AA"/>
    <w:pPr>
      <w:autoSpaceDE w:val="0"/>
      <w:autoSpaceDN w:val="0"/>
      <w:spacing w:after="0" w:line="240" w:lineRule="auto"/>
    </w:pPr>
    <w:rPr>
      <w:rFonts w:ascii="Arial" w:hAnsi="Arial" w:cs="Arial"/>
      <w:color w:val="000000"/>
      <w:sz w:val="24"/>
      <w:szCs w:val="24"/>
    </w:rPr>
  </w:style>
  <w:style w:type="paragraph" w:customStyle="1" w:styleId="Pa16">
    <w:name w:val="Pa16"/>
    <w:basedOn w:val="Default"/>
    <w:next w:val="Default"/>
    <w:uiPriority w:val="99"/>
    <w:rsid w:val="00CF06AA"/>
    <w:pPr>
      <w:adjustRightInd w:val="0"/>
      <w:spacing w:line="321" w:lineRule="atLeast"/>
    </w:pPr>
    <w:rPr>
      <w:rFonts w:ascii="Helvetica Neue" w:eastAsiaTheme="minorHAnsi" w:hAnsi="Helvetica Neue" w:cstheme="minorBidi"/>
      <w:color w:val="auto"/>
      <w:lang w:eastAsia="en-US"/>
    </w:rPr>
  </w:style>
  <w:style w:type="paragraph" w:styleId="FootnoteText">
    <w:name w:val="footnote text"/>
    <w:basedOn w:val="Normal"/>
    <w:link w:val="FootnoteTextChar"/>
    <w:uiPriority w:val="99"/>
    <w:semiHidden/>
    <w:unhideWhenUsed/>
    <w:rsid w:val="00CF06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06AA"/>
    <w:rPr>
      <w:rFonts w:eastAsiaTheme="minorEastAsia"/>
      <w:kern w:val="0"/>
      <w:sz w:val="20"/>
      <w:szCs w:val="20"/>
      <w:lang w:eastAsia="en-GB"/>
    </w:rPr>
  </w:style>
  <w:style w:type="character" w:styleId="FootnoteReference">
    <w:name w:val="footnote reference"/>
    <w:basedOn w:val="DefaultParagraphFont"/>
    <w:uiPriority w:val="99"/>
    <w:semiHidden/>
    <w:unhideWhenUsed/>
    <w:rsid w:val="00CF06AA"/>
    <w:rPr>
      <w:vertAlign w:val="superscript"/>
    </w:rPr>
  </w:style>
  <w:style w:type="paragraph" w:styleId="Footer">
    <w:name w:val="footer"/>
    <w:basedOn w:val="Normal"/>
    <w:link w:val="FooterChar"/>
    <w:uiPriority w:val="99"/>
    <w:unhideWhenUsed/>
    <w:rsid w:val="00CF06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6AA"/>
    <w:rPr>
      <w:rFonts w:eastAsiaTheme="minorEastAsia"/>
      <w:kern w:val="0"/>
      <w:lang w:eastAsia="en-GB"/>
    </w:rPr>
  </w:style>
  <w:style w:type="character" w:styleId="FollowedHyperlink">
    <w:name w:val="FollowedHyperlink"/>
    <w:basedOn w:val="DefaultParagraphFont"/>
    <w:uiPriority w:val="99"/>
    <w:semiHidden/>
    <w:unhideWhenUsed/>
    <w:rsid w:val="00E3256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prevent-duty-toolkit-for-local-authorities/prevent-duty-toolkit-for-local-authorities-accessi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2890</Characters>
  <Application>Microsoft Office Word</Application>
  <DocSecurity>0</DocSecurity>
  <Lines>24</Lines>
  <Paragraphs>6</Paragraphs>
  <ScaleCrop>false</ScaleCrop>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Hanim</dc:creator>
  <cp:keywords/>
  <dc:description/>
  <cp:lastModifiedBy>Zoe Hanim</cp:lastModifiedBy>
  <cp:revision>2</cp:revision>
  <dcterms:created xsi:type="dcterms:W3CDTF">2025-12-16T10:47:00Z</dcterms:created>
  <dcterms:modified xsi:type="dcterms:W3CDTF">2025-12-16T10:47:00Z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28a9a6-133a-4796-ad7d-6b90f7583680_Enabled">
    <vt:lpwstr>true</vt:lpwstr>
  </property>
  <property fmtid="{D5CDD505-2E9C-101B-9397-08002B2CF9AE}" pid="3" name="MSIP_Label_2b28a9a6-133a-4796-ad7d-6b90f7583680_SetDate">
    <vt:lpwstr>2025-11-05T13:18:42Z</vt:lpwstr>
  </property>
  <property fmtid="{D5CDD505-2E9C-101B-9397-08002B2CF9AE}" pid="4" name="MSIP_Label_2b28a9a6-133a-4796-ad7d-6b90f7583680_Method">
    <vt:lpwstr>Standard</vt:lpwstr>
  </property>
  <property fmtid="{D5CDD505-2E9C-101B-9397-08002B2CF9AE}" pid="5" name="MSIP_Label_2b28a9a6-133a-4796-ad7d-6b90f7583680_Name">
    <vt:lpwstr>Private</vt:lpwstr>
  </property>
  <property fmtid="{D5CDD505-2E9C-101B-9397-08002B2CF9AE}" pid="6" name="MSIP_Label_2b28a9a6-133a-4796-ad7d-6b90f7583680_SiteId">
    <vt:lpwstr>996ee15c-0b3e-4a6f-8e65-120a9a51821a</vt:lpwstr>
  </property>
  <property fmtid="{D5CDD505-2E9C-101B-9397-08002B2CF9AE}" pid="7" name="MSIP_Label_2b28a9a6-133a-4796-ad7d-6b90f7583680_ActionId">
    <vt:lpwstr>58250df5-8bb5-4943-b442-c98f42dc9649</vt:lpwstr>
  </property>
  <property fmtid="{D5CDD505-2E9C-101B-9397-08002B2CF9AE}" pid="8" name="MSIP_Label_2b28a9a6-133a-4796-ad7d-6b90f7583680_ContentBits">
    <vt:lpwstr>2</vt:lpwstr>
  </property>
  <property fmtid="{D5CDD505-2E9C-101B-9397-08002B2CF9AE}" pid="9" name="MSIP_Label_2b28a9a6-133a-4796-ad7d-6b90f7583680_Tag">
    <vt:lpwstr>10, 3, 0, 1</vt:lpwstr>
  </property>
</Properties>
</file>